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§9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17953, subsection 3</w:t>
      </w:r>
      <w:r>
        <w:t xml:space="preserve"> and the other persons designated are eligible to receive benefits under </w:t>
      </w:r>
      <w:r>
        <w:t>section 17953, subsection 4</w:t>
      </w:r>
      <w:r>
        <w:t xml:space="preserve">, there is no limit to the number of persons eligible to receive benefits under </w:t>
      </w:r>
      <w:r>
        <w:t>section 17953,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17953,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17953,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17953, subsection 1</w:t>
      </w:r>
      <w:r>
        <w:t xml:space="preserve"> or </w:t>
      </w:r>
      <w:r>
        <w:t>section 17954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§1 (AMD). PL 2011, c. 449, §9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§17952.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§17952.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§17952.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