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Deliveries</w:t>
      </w:r>
    </w:p>
    <w:p>
      <w:pPr>
        <w:jc w:val="both"/>
        <w:spacing w:before="100" w:after="100"/>
        <w:ind w:start="360"/>
        <w:ind w:firstLine="360"/>
      </w:pPr>
      <w:r>
        <w:rPr/>
      </w:r>
      <w:r>
        <w:rPr/>
      </w:r>
      <w:r>
        <w:t xml:space="preserve">Supplies, materials and equipment purchased or contracted for by the Chief Procurement Officer must be delivered by the officer or by the contractor to the department or agency by which or for whom the same are to be used from time to time as required.</w:t>
      </w:r>
      <w:r>
        <w:t xml:space="preserve">  </w:t>
      </w:r>
      <w:r xmlns:wp="http://schemas.openxmlformats.org/drawingml/2010/wordprocessingDrawing" xmlns:w15="http://schemas.microsoft.com/office/word/2012/wordml">
        <w:rPr>
          <w:rFonts w:ascii="Arial" w:hAnsi="Arial" w:cs="Arial"/>
          <w:sz w:val="22"/>
          <w:szCs w:val="22"/>
        </w:rPr>
        <w:t xml:space="preserve">[PL 2023, c. 516,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§1818. Deliveries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Deliveries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§1818. DELIVERIES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