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1825-J</w:t>
        <w:t xml:space="preserve">.  </w:t>
      </w:r>
      <w:r>
        <w:rPr>
          <w:b/>
        </w:rPr>
        <w:t xml:space="preserve">Reports</w:t>
      </w:r>
    </w:p>
    <w:p>
      <w:pPr>
        <w:jc w:val="both"/>
        <w:spacing w:before="100" w:after="100"/>
        <w:ind w:start="360"/>
        <w:ind w:firstLine="360"/>
      </w:pPr>
      <w:r>
        <w:rPr/>
      </w:r>
      <w:r>
        <w:rPr/>
      </w:r>
      <w:r>
        <w:t xml:space="preserve">When a state agency enters into a contract or grant with a nongovernmental entity, and the contract or grant includes a report to the agency, the contract or grant must require that the report be in writing or in another reproducible nontransitory medium and be submitted to the agency.  The report must express all of the substantive conclusions disclosed to the agency and either summarize the information and data or identify the source of the information and data on which those conclusions are based.  Once the report is submitted, the agency shall retain at least one copy of the report in its custody.  This section applies to contracts and grants with a total cost of $10,000 or more.</w:t>
      </w:r>
      <w:r>
        <w:t xml:space="preserve">  </w:t>
      </w:r>
      <w:r xmlns:wp="http://schemas.openxmlformats.org/drawingml/2010/wordprocessingDrawing" xmlns:w15="http://schemas.microsoft.com/office/word/2012/wordml">
        <w:rPr>
          <w:rFonts w:ascii="Arial" w:hAnsi="Arial" w:cs="Arial"/>
          <w:sz w:val="22"/>
          <w:szCs w:val="22"/>
        </w:rPr>
        <w:t xml:space="preserve">[PL 2015, c. 179,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623, §1 (NEW). PL 2015, c. 179,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§1825-J.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§1825-J.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§1825-J.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