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w:t>
        <w:t xml:space="preserve">.  </w:t>
      </w:r>
      <w:r>
        <w:rPr>
          <w:b/>
        </w:rPr>
        <w:t xml:space="preserve">Prohibitions</w:t>
      </w:r>
    </w:p>
    <w:p>
      <w:pPr>
        <w:jc w:val="both"/>
        <w:spacing w:before="100" w:after="100"/>
        <w:ind w:start="360"/>
        <w:ind w:firstLine="360"/>
      </w:pPr>
      <w:r>
        <w:rPr/>
      </w:r>
      <w:r>
        <w:rPr/>
      </w:r>
      <w:r>
        <w:t xml:space="preserve">All state agencies, except the Department of Transportation, are prohibited from purchasing what is normally classified as heavy equipment not previously authorized by the Legislature through the budget process, without prior written authorization from the Commissioner of Administrative and Financial Services. All purchase requisitions for heavy equipment must indicate the budget year and account that authorized each item of equipment and, if required, contain the written authorization of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1991, c. 780, Pt. Y, §69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§A13 (NEW). PL 1991, c. 780, §Y69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§1825.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