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18461</w:t>
        <w:t xml:space="preserve">.  </w:t>
      </w:r>
      <w:r>
        <w:rPr>
          <w:b/>
        </w:rPr>
        <w:t xml:space="preserve">Collective bargaining rights</w:t>
      </w:r>
    </w:p>
    <w:p>
      <w:pPr>
        <w:jc w:val="both"/>
        <w:spacing w:before="100" w:after="100"/>
        <w:ind w:start="360"/>
        <w:ind w:firstLine="360"/>
      </w:pPr>
      <w:r>
        <w:rPr/>
      </w:r>
      <w:r>
        <w:rPr/>
      </w:r>
      <w:r>
        <w:t xml:space="preserve">Nothing in </w:t>
      </w:r>
      <w:r>
        <w:t>section 18453, subsections 1</w:t>
      </w:r>
      <w:r>
        <w:t xml:space="preserve"> to </w:t>
      </w:r>
      <w:r>
        <w:t>9</w:t>
      </w:r>
      <w:r>
        <w:t xml:space="preserve">, may be construed to affect in any way the rights of public employees to engage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§18461.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§18461.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§18461.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