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18504</w:t>
      </w:r>
      <w:r>
        <w:t xml:space="preserve"> retires, the member is entitled to receive a disability retirement benefit equal to 59% of the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§18 (AMD).]</w:t>
      </w:r>
    </w:p>
    <w:p>
      <w:pPr>
        <w:jc w:val="both"/>
        <w:spacing w:before="100" w:after="100"/>
        <w:ind w:start="360"/>
        <w:ind w:firstLine="360"/>
      </w:pPr>
      <w:r>
        <w:rPr/>
      </w:r>
      <w:r>
        <w:rPr/>
      </w:r>
      <w:r>
        <w:t xml:space="preserve">A member who by election remains covered, as to qualification for benefits, under </w:t>
      </w:r>
      <w:r>
        <w:t>section 18504</w:t>
      </w:r>
      <w:r>
        <w:t xml:space="preserve"> as written prior to its amendment by Public Law 1991, chapter 887, section 12, qualifies for a disability retirement benefit on meeting the requirements of </w:t>
      </w:r>
      <w:r>
        <w:t>section 18504,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§13 (AMD). PL 1993, c. 595, §11 (AMD). PL 1995, c. 643, §18 (AMD). PL 1997, c. 384, §11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§18505.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§18505.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§18505.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