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§35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18524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 PL 2021, c. 548, §45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423, subchapter 5, article 3‑A</w:t>
      </w:r>
      <w:r>
        <w:t xml:space="preserve">.  If the chief executive officer finds that the member has met the requirements of </w:t>
      </w:r>
      <w:r>
        <w:t>section 18524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§§21,22 (AMD). PL 1997, c. 393, §A14 (AMD). PL 2015, c. 392, §2 (AMD). PL 2017, c. 88, §32 (AMD). PL 2021, c. 277, §35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