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3,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2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85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07, c. 249, §3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3.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3.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3.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