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18555</w:t>
        <w:t xml:space="preserve">.  </w:t>
      </w:r>
      <w:r>
        <w:rPr>
          <w:b/>
        </w:rPr>
        <w:t xml:space="preserve">Applicability</w:t>
      </w:r>
    </w:p>
    <w:p>
      <w:pPr>
        <w:jc w:val="both"/>
        <w:spacing w:before="100" w:after="100"/>
        <w:ind w:start="360"/>
        <w:ind w:firstLine="360"/>
      </w:pPr>
      <w:r>
        <w:rPr/>
      </w:r>
      <w:r>
        <w:rPr/>
      </w:r>
      <w:r>
        <w:t xml:space="preserve">Notwithstanding </w:t>
      </w:r>
      <w:r>
        <w:t>section 18202</w:t>
      </w:r>
      <w:r>
        <w:t xml:space="preserve">, the provisions of former section 1124 of the state retirement system law, in effect on June 30, 1982, except former section 1124, subsection 4, are applicable to each participating local district which has adopted  </w:t>
      </w:r>
      <w:r>
        <w:t>section 18553</w:t>
      </w:r>
      <w:r>
        <w:t xml:space="preserve"> or former section 1124, as part of its plan, whether or not the district has adopted amendments enacted after it adoption of section 18553 or former section 1124, as part of its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