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19007</w:t>
        <w:t xml:space="preserve">.  </w:t>
      </w:r>
      <w:r>
        <w:rPr>
          <w:b/>
        </w:rPr>
        <w:t xml:space="preserve">Cost of administration</w:t>
      </w:r>
    </w:p>
    <w:p>
      <w:pPr>
        <w:jc w:val="both"/>
        <w:spacing w:before="100" w:after="100"/>
        <w:ind w:start="360"/>
        <w:ind w:firstLine="360"/>
      </w:pPr>
      <w:r>
        <w:rPr/>
      </w:r>
      <w:r>
        <w:rPr/>
      </w:r>
      <w:r>
        <w:t xml:space="preserve">Any cost of administering this chapter may be prorated among the political subdivisions joining this plan. A revolving fund is established from which costs of administration shall be paid and to which shall be credited the amounts billed to and received from the political subdivisions in the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§19007. Cost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§19007. Cost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§19007. COST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