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RR 2023, c. 2,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