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19134</w:t>
        <w:t xml:space="preserve">.  </w:t>
      </w:r>
      <w:r>
        <w:rPr>
          <w:b/>
        </w:rPr>
        <w:t xml:space="preserve">Funds</w:t>
      </w:r>
    </w:p>
    <w:p>
      <w:pPr>
        <w:jc w:val="both"/>
        <w:spacing w:before="100" w:after="100"/>
        <w:ind w:start="360"/>
        <w:ind w:firstLine="360"/>
      </w:pPr>
      <w:r>
        <w:rPr/>
      </w:r>
      <w:r>
        <w:rPr/>
      </w:r>
      <w:r>
        <w:t xml:space="preserve">The cabinet is authorized to request, receive and pool funds from the Federal Government, any department, office or political subdivision of the State or any individual, foundation or corporation and may expend those funds for purposes that are consistent with this chapter.</w:t>
      </w:r>
      <w:r>
        <w:t xml:space="preserve">  </w:t>
      </w:r>
      <w:r xmlns:wp="http://schemas.openxmlformats.org/drawingml/2010/wordprocessingDrawing" xmlns:w15="http://schemas.microsoft.com/office/word/2012/wordml">
        <w:rPr>
          <w:rFonts w:ascii="Arial" w:hAnsi="Arial" w:cs="Arial"/>
          <w:sz w:val="22"/>
          <w:szCs w:val="22"/>
        </w:rPr>
        <w:t xml:space="preserve">[PL 2019, c. 450,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785, §3 (NEW). PL 2019, c. 450,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§19134.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§19134.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§19134.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