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19253</w:t>
        <w:t xml:space="preserve">.  </w:t>
      </w:r>
      <w:r>
        <w:rPr>
          <w:b/>
        </w:rPr>
        <w:t xml:space="preserve">Fiscal agents</w:t>
      </w:r>
    </w:p>
    <w:p>
      <w:pPr>
        <w:jc w:val="both"/>
        <w:spacing w:before="100" w:after="100"/>
        <w:ind w:start="360"/>
        <w:ind w:firstLine="360"/>
      </w:pPr>
      <w:r>
        <w:rPr/>
      </w:r>
      <w:r>
        <w:rPr/>
      </w:r>
      <w:r>
        <w:t xml:space="preserve">A fiscal agent receiving grants under this chapter shall act only in an administrative capacity to receive and distribute grant money to the nonprofit community organization, as described in the rules promulgated by the bureau for regulating the local administration of these programs.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§19253. Fiscal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§19253. Fiscal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§19253. FISCAL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