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194-I</w:t>
        <w:t xml:space="preserve">.  </w:t>
      </w:r>
      <w:r>
        <w:rPr>
          <w:b/>
        </w:rPr>
        <w:t xml:space="preserve">Intervention in court proceeding</w:t>
      </w:r>
    </w:p>
    <w:p>
      <w:pPr>
        <w:jc w:val="both"/>
        <w:spacing w:before="100" w:after="100"/>
        <w:ind w:start="360"/>
        <w:ind w:firstLine="360"/>
      </w:pPr>
      <w:r>
        <w:rPr/>
      </w:r>
      <w:r>
        <w:rPr/>
      </w:r>
      <w:r>
        <w:t xml:space="preserve">This section relates to intervention in proceedings under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Right to intervene.</w:t>
        <w:t xml:space="preserve"> </w:t>
      </w:r>
      <w:r>
        <w:t xml:space="preserve"> </w:t>
      </w:r>
      <w:r>
        <w:t xml:space="preserve">Except as provided in </w:t>
      </w:r>
      <w:r>
        <w:t>subsection 2</w:t>
      </w:r>
      <w:r>
        <w:t xml:space="preserve">, the court, on timely application made pursuant to Rule 24(a) of the Maine Rules of Civil Procedure, shall allow any person who is interested in the outcome of a conversion proceeding to intervene as a party to that proceeding, notwithstanding the presence of the Attorney General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power to manage process.</w:t>
        <w:t xml:space="preserve"> </w:t>
      </w:r>
      <w:r>
        <w:t xml:space="preserve"> </w:t>
      </w:r>
      <w:r>
        <w:t xml:space="preserve">This section does not limit the power of the court to manage its cases by limiting the number of intervenors or by consolidating parties with similar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§194-I. Intervention in court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§194-I. Intervention in court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§194-I. INTERVENTION IN COURT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