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1984</w:t>
        <w:t xml:space="preserve">.  </w:t>
      </w:r>
      <w:r>
        <w:rPr>
          <w:b/>
        </w:rPr>
        <w:t xml:space="preserve">Internal services fund accounts</w:t>
      </w:r>
    </w:p>
    <w:p>
      <w:pPr>
        <w:jc w:val="both"/>
        <w:spacing w:before="100" w:after="100"/>
        <w:ind w:start="360"/>
        <w:ind w:firstLine="360"/>
      </w:pPr>
      <w:r>
        <w:rPr/>
      </w:r>
      <w:r>
        <w:rPr/>
      </w:r>
      <w:r>
        <w:t xml:space="preserve">The office may establish internal services fund accounts.  These funds include, but are not limited to, appropriations made to the office, funds transferred to the office from within the department and funds received for data processing and telecommunications planning services rendered to state agencies.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§1984. Internal services fund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§1984. Internal services fund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§1984. INTERNAL SERVICES FUND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