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Priority of responsibilities</w:t>
      </w:r>
    </w:p>
    <w:p>
      <w:pPr>
        <w:jc w:val="both"/>
        <w:spacing w:before="100" w:after="100"/>
        <w:ind w:start="360"/>
        <w:ind w:firstLine="360"/>
      </w:pPr>
      <w:r>
        <w:rPr/>
      </w:r>
      <w:r>
        <w:rPr/>
      </w:r>
      <w:r>
        <w:t xml:space="preserve">The activities authorized under this subchapter do not take priority over the primary responsibilities of the Office of Information Technology.  If there are not sufficient financial or personnel resources for the Office of Geographic Information Systems to perform certain GIS services and deliver GIS data and products as provided in this subchapter, the administrative management functions related to the Office of Geographic Information Systems, technical support for other state agency GIS users, office equipment maintenance and GIS data base management must take precedence.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§1996.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§1996.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