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Appeals</w:t>
      </w:r>
    </w:p>
    <w:p>
      <w:pPr>
        <w:jc w:val="both"/>
        <w:spacing w:before="100" w:after="100"/>
        <w:ind w:start="360"/>
        <w:ind w:firstLine="360"/>
      </w:pPr>
      <w:r>
        <w:rPr/>
      </w:r>
      <w:r>
        <w:rPr/>
      </w:r>
      <w:r>
        <w:t xml:space="preserve">Any state agency or semiautonomous state agency disagreeing with an action or decision of the Chief Information Officer as it affects that agency may appeal the decision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Appeal.</w:t>
        <w:t xml:space="preserve"> </w:t>
      </w:r>
      <w:r>
        <w:t xml:space="preserve"> </w:t>
      </w:r>
      <w:r>
        <w:t xml:space="preserve">A state agency may appeal the decision or action of the Chief Information Officer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Appeal to Governor.</w:t>
        <w:t xml:space="preserve"> </w:t>
      </w:r>
      <w:r>
        <w:t xml:space="preserve"> </w:t>
      </w:r>
      <w:r>
        <w:t xml:space="preserve">In the event that an agency is aggrieved by the decision of the commissioner, the agency may appeal to the Governor to alter the decision or action, and the decision of the Governor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Written decisions.</w:t>
        <w:t xml:space="preserve"> </w:t>
      </w:r>
      <w:r>
        <w:t xml:space="preserve"> </w:t>
      </w:r>
      <w:r>
        <w:t xml:space="preserve">In responding to a state agency, the person or organization to whom the appeal has been made shall provide the decision in writing.  If the decision fails to uphold the state agency appeal, the decision must contain the specific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§2011.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