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2025</w:t>
        <w:t xml:space="preserve">.  </w:t>
      </w:r>
      <w:r>
        <w:rPr>
          <w:b/>
        </w:rPr>
        <w:t xml:space="preserve">Indirect transfer of state funds</w:t>
      </w:r>
    </w:p>
    <w:p>
      <w:pPr>
        <w:jc w:val="both"/>
        <w:spacing w:before="100" w:after="100"/>
        <w:ind w:start="360"/>
        <w:ind w:firstLine="360"/>
      </w:pPr>
      <w:r>
        <w:rPr/>
      </w:r>
      <w:r>
        <w:rPr/>
      </w:r>
      <w:r>
        <w:t xml:space="preserve">A local governmental entity, when purchasing information or communications technology or services or entering into a contract for goods or services, shall take all reasonable steps to ensure state funds are not indirectly transferred to a company on the list of prohibited companies maintained by the Chief Information Officer pursuant to </w:t>
      </w:r>
      <w:r>
        <w:t>section 2022,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§2025. Indirect transfer of state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§2025. Indirect transfer of state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§2025. INDIRECT TRANSFER OF STATE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