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2045</w:t>
        <w:t xml:space="preserve">.  </w:t>
      </w:r>
      <w:r>
        <w:rPr>
          <w:b/>
        </w:rPr>
        <w:t xml:space="preserve">Authorization</w:t>
      </w:r>
    </w:p>
    <w:p>
      <w:pPr>
        <w:jc w:val="both"/>
        <w:spacing w:before="100" w:after="100"/>
        <w:ind w:start="360"/>
        <w:ind w:firstLine="360"/>
      </w:pPr>
      <w:r>
        <w:rPr/>
      </w:r>
      <w:r>
        <w:rPr/>
      </w:r>
      <w:r>
        <w:t xml:space="preserve">The Wholesale Prescription Drug Importation Program, referred to in this chapter as "the program," is established to provide for the wholesale importation of prescription drugs from Canada by or on behalf of the State.  The program must be designed in accordance with the requirements of this chapter.  The program may not be implemented unless the State obtains approval and certification, pursuant to </w:t>
      </w:r>
      <w:r>
        <w:t>section 2046, subsection 3</w:t>
      </w:r>
      <w:r>
        <w:t xml:space="preserve">, from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§2045.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§2045.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§2045.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