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No ex officio duties</w:t>
      </w:r>
    </w:p>
    <w:p>
      <w:pPr>
        <w:jc w:val="both"/>
        <w:spacing w:before="100" w:after="100"/>
        <w:ind w:start="360"/>
        <w:ind w:firstLine="360"/>
      </w:pPr>
      <w:r>
        <w:rPr/>
      </w:r>
      <w:r>
        <w:rPr/>
      </w:r>
      <w:r>
        <w:t xml:space="preserve">The State Auditor may not serve in an ex officio capacity on any administrative board or commission or have any financial interest in the transactions of any department, institution or agency of the State Government.  The State Auditor may not be responsible for the collection of any money belonging to the State or for the handling or custody of any state funds.</w:t>
      </w:r>
      <w:r>
        <w:t xml:space="preserve">  </w:t>
      </w:r>
      <w:r xmlns:wp="http://schemas.openxmlformats.org/drawingml/2010/wordprocessingDrawing" xmlns:w15="http://schemas.microsoft.com/office/word/2012/wordml">
        <w:rPr>
          <w:rFonts w:ascii="Arial" w:hAnsi="Arial" w:cs="Arial"/>
          <w:sz w:val="22"/>
          <w:szCs w:val="22"/>
        </w:rPr>
        <w:t xml:space="preserve">[RR 2023,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 No ex officio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No ex officio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 NO EX OFFICIO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