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w:t>
        <w:t xml:space="preserve">.  </w:t>
      </w:r>
      <w:r>
        <w:rPr>
          <w:b/>
        </w:rPr>
        <w:t xml:space="preserve">Appointment; term; compensation</w:t>
      </w:r>
    </w:p>
    <w:p>
      <w:pPr>
        <w:jc w:val="both"/>
        <w:spacing w:before="100" w:after="100"/>
        <w:ind w:start="360"/>
        <w:ind w:firstLine="360"/>
      </w:pPr>
      <w:r>
        <w:rPr/>
      </w:r>
      <w:r>
        <w:rPr/>
      </w:r>
      <w:r>
        <w:t xml:space="preserve">The Governor shall appoint an ombudsman to head the Office of the Maine-Canada Trade Ombudsman, who is referred to in this chapter as the "ombudsman," subject to review by the joint standing committee of the Legislature having jurisdiction over state and local government matters and confirmation by the Senate.  The ombudsman must be chosen without reference to party affiliation and solely on the ground of professional competence to perform the duties of that office.  The ombudsman holds office for a term of 4 years.  An ombudsman may be reappointed.  The compensation of the ombudsman is fixed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701,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 PL 2003, c. 701,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 Appointment; term;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 Appointment; term;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§262. APPOINTMENT; TERM;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