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Declaration of policy</w:t>
      </w:r>
    </w:p>
    <w:p>
      <w:pPr>
        <w:jc w:val="both"/>
        <w:spacing w:before="100" w:after="100"/>
        <w:ind w:start="360"/>
        <w:ind w:firstLine="360"/>
      </w:pPr>
      <w:r>
        <w:rPr/>
      </w:r>
      <w:r>
        <w:rPr/>
      </w:r>
      <w:r>
        <w:t xml:space="preserve">The Legislature, in view of the need for effective planning to accommodate the governmental agencies of the State of Maine located in Augusta, and the possibility that a continuing increase in these needs may eventually make the construction of additional buildings and the enlargement of the state capitol grounds necessary, declares that it is the policy of the State of Maine that the development of the Capitol Area shall proceed with economy, careful planning, aesthetic consideration and with due regard to the public interests involved.</w:t>
      </w:r>
      <w:r>
        <w:t xml:space="preserve">  </w:t>
      </w:r>
      <w:r xmlns:wp="http://schemas.openxmlformats.org/drawingml/2010/wordprocessingDrawing" xmlns:w15="http://schemas.microsoft.com/office/word/2012/wordml">
        <w:rPr>
          <w:rFonts w:ascii="Arial" w:hAnsi="Arial" w:cs="Arial"/>
          <w:sz w:val="22"/>
          <w:szCs w:val="22"/>
        </w:rPr>
        <w:t xml:space="preserve">[PL 1971, c. 544,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544,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§297.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