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Contributions</w:t>
      </w:r>
    </w:p>
    <w:p>
      <w:pPr>
        <w:jc w:val="both"/>
        <w:spacing w:before="100" w:after="100"/>
        <w:ind w:start="360"/>
        <w:ind w:firstLine="360"/>
      </w:pPr>
      <w:r>
        <w:rPr/>
      </w:r>
      <w:r>
        <w:rPr/>
      </w:r>
      <w:r>
        <w:t xml:space="preserve">The commission may accept gifts, bequests and federal funds for purposes consistent with the objectives of this chapter. Such gifts and bequests shall be used solely to carry out the purposes for which they were made.</w:t>
      </w:r>
      <w:r>
        <w:t xml:space="preserve">  </w:t>
      </w:r>
      <w:r xmlns:wp="http://schemas.openxmlformats.org/drawingml/2010/wordprocessingDrawing" xmlns:w15="http://schemas.microsoft.com/office/word/2012/wordml">
        <w:rPr>
          <w:rFonts w:ascii="Arial" w:hAnsi="Arial" w:cs="Arial"/>
          <w:sz w:val="22"/>
          <w:szCs w:val="22"/>
        </w:rPr>
        <w:t xml:space="preserve">[PL 1975, c. 647,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1975, c. 647,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§306.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