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w:t>
        <w:t xml:space="preserve">.  </w:t>
      </w:r>
      <w:r>
        <w:rPr>
          <w:b/>
        </w:rPr>
        <w:t xml:space="preserve">Annual report</w:t>
      </w:r>
    </w:p>
    <w:p>
      <w:pPr>
        <w:jc w:val="both"/>
        <w:spacing w:before="100" w:after="100"/>
        <w:ind w:start="360"/>
        <w:ind w:firstLine="360"/>
      </w:pPr>
      <w:r>
        <w:rPr/>
      </w:r>
      <w:r>
        <w:rPr/>
      </w:r>
      <w:r>
        <w:t xml:space="preserve">No later than January 1, 2023 and annually thereafter, the office shall submit a report to the Governor, the legislative oversight committee and the advisory council of its findings in accordance with this chapter.  The report must include a summary of comments received at the annual public hearing convened under </w:t>
      </w:r>
      <w:r>
        <w:t>section 3124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