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360"/>
        <w:ind w:firstLine="360"/>
      </w:pPr>
      <w:r>
        <w:rPr>
          <w:b/>
        </w:rPr>
        <w:t>1</w:t>
        <w:t xml:space="preserve">.  </w:t>
      </w:r>
      <w:r>
        <w:rPr>
          <w:b/>
        </w:rPr>
        <w:t xml:space="preserve">Director.</w:t>
        <w:t xml:space="preserve"> </w:t>
      </w:r>
      <w:r>
        <w:t xml:space="preserve"> </w:t>
      </w:r>
      <w:r>
        <w:t xml:space="preserve">"Director" means the Director of the Maine Office of Community Affairs appointed pursuant to </w:t>
      </w:r>
      <w:r>
        <w:t>section 3203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w:pPr>
        <w:jc w:val="both"/>
        <w:spacing w:before="100" w:after="0"/>
        <w:ind w:start="360"/>
        <w:ind w:firstLine="360"/>
      </w:pPr>
      <w:r>
        <w:rPr>
          <w:b/>
        </w:rPr>
        <w:t>2</w:t>
        <w:t xml:space="preserve">.  </w:t>
      </w:r>
      <w:r>
        <w:rPr>
          <w:b/>
        </w:rPr>
        <w:t xml:space="preserve">Office.</w:t>
        <w:t xml:space="preserve"> </w:t>
      </w:r>
      <w:r>
        <w:t xml:space="preserve"> </w:t>
      </w:r>
      <w:r>
        <w:t xml:space="preserve">"Office" means the Maine Office of Community Affairs established by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