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Land use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§3341. LAND USE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