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3360-C</w:t>
        <w:t xml:space="preserve">.  </w:t>
      </w:r>
      <w:r>
        <w:rPr>
          <w:b/>
        </w:rPr>
        <w:t xml:space="preserve">Requirements and exclusions</w:t>
      </w:r>
    </w:p>
    <w:p>
      <w:pPr>
        <w:jc w:val="both"/>
        <w:spacing w:before="100" w:after="100"/>
        <w:ind w:start="360"/>
        <w:ind w:firstLine="360"/>
      </w:pPr>
      <w:r>
        <w:rPr>
          <w:b/>
        </w:rPr>
        <w:t>1</w:t>
        <w:t xml:space="preserve">.  </w:t>
      </w:r>
      <w:r>
        <w:rPr>
          <w:b/>
        </w:rPr>
        <w:t xml:space="preserve">Compensation.</w:t>
        <w:t xml:space="preserve"> </w:t>
      </w:r>
      <w:r>
        <w:t xml:space="preserve"> </w:t>
      </w:r>
      <w:r>
        <w:t xml:space="preserve">Compensation may not be paid for any crime unless:</w:t>
      </w:r>
    </w:p>
    <w:p>
      <w:pPr>
        <w:jc w:val="both"/>
        <w:spacing w:before="100" w:after="0"/>
        <w:ind w:start="720"/>
      </w:pPr>
      <w:r>
        <w:rPr/>
        <w:t>A</w:t>
        <w:t xml:space="preserve">.  </w:t>
      </w:r>
      <w:r>
        <w:rPr/>
      </w:r>
      <w:r>
        <w:t xml:space="preserve">The crime was reported to a law enforcement officer within 5 days of the occurrence or discovery of the crime or of the resultant injury; and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The claim was filed with the board within 3 years of the occurrence of the injury or compensable loss, or within 60 days of the discovery of injury or compensable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2003, c. 243, §4 (AMD).]</w:t>
      </w:r>
    </w:p>
    <w:p>
      <w:pPr>
        <w:jc w:val="both"/>
        <w:spacing w:before="100" w:after="0"/>
        <w:ind w:start="360"/>
      </w:pPr>
      <w:r>
        <w:rPr/>
      </w:r>
      <w:r>
        <w:rPr/>
      </w:r>
      <w:r>
        <w:t xml:space="preserve">For purposes of this subsection, an unrestricted report of sexual assault made to the Maine National Guard by a current or former member of the Maine National Guard is a crime reported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§1 (AMD).]</w:t>
      </w:r>
    </w:p>
    <w:p>
      <w:pPr>
        <w:jc w:val="both"/>
        <w:spacing w:before="100" w:after="100"/>
        <w:ind w:start="360"/>
        <w:ind w:firstLine="360"/>
      </w:pPr>
      <w:r>
        <w:rPr>
          <w:b/>
        </w:rPr>
        <w:t>2</w:t>
        <w:t xml:space="preserve">.  </w:t>
      </w:r>
      <w:r>
        <w:rPr>
          <w:b/>
        </w:rPr>
        <w:t xml:space="preserve">Cooperation.</w:t>
        <w:t xml:space="preserve"> </w:t>
      </w:r>
      <w:r>
        <w:t xml:space="preserve"> </w:t>
      </w:r>
      <w:r>
        <w:t xml:space="preserve">Compensation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1997, c. 378, §6 (AMD).]</w:t>
      </w:r>
    </w:p>
    <w:p>
      <w:pPr>
        <w:jc w:val="both"/>
        <w:spacing w:before="100" w:after="0"/>
        <w:ind w:start="720"/>
      </w:pPr>
      <w:r>
        <w:rPr/>
        <w:t>B</w:t>
        <w:t xml:space="preserve">.  </w:t>
      </w:r>
      <w:r>
        <w:rPr/>
      </w:r>
      <w:r>
        <w:t xml:space="preserve">To or on behalf of any person who violated a criminal law that caused or contributed to the injury or death for which compensation is sought, except when the person was the victim of a criminal homicide and the claimant was not involved in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2017, c. 348,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348, §1 (AMD).]</w:t>
      </w:r>
    </w:p>
    <w:p>
      <w:pPr>
        <w:jc w:val="both"/>
        <w:spacing w:before="100" w:after="0"/>
        <w:ind w:start="360"/>
        <w:ind w:firstLine="360"/>
      </w:pPr>
      <w:r>
        <w:rPr>
          <w:b/>
        </w:rPr>
        <w:t>3</w:t>
        <w:t xml:space="preserve">.  </w:t>
      </w:r>
      <w:r>
        <w:rPr>
          <w:b/>
        </w:rPr>
        <w:t xml:space="preserve">Exception.</w:t>
        <w:t xml:space="preserve"> </w:t>
      </w:r>
      <w:r>
        <w:t xml:space="preserve"> </w:t>
      </w:r>
      <w:r>
        <w:t xml:space="preserve">The board may waive the time requirements of </w:t>
      </w:r>
      <w:r>
        <w:t>subsection 1</w:t>
      </w:r>
      <w:r>
        <w:t xml:space="preserve"> for good cause shown and shall waive the time requirements on behalf of a child or when the claimant is a child and the crime and the claim have been properly reported to law enforcement officers and the board by an adult who becomes aware of the crime and of the compensable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§6 (AMD). PL 2003, c. 243, §4 (AMD). PL 2017, c. 348, §1 (AMD). PL 2023, c. 474,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§3360-C. Requirements and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§3360-C. Requirements and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§3360-C. REQUIREMENTS AND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