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3360-L</w:t>
        <w:t xml:space="preserve">.  </w:t>
      </w:r>
      <w:r>
        <w:rPr>
          <w:b/>
        </w:rPr>
        <w:t xml:space="preserve">Information</w:t>
      </w:r>
    </w:p>
    <w:p>
      <w:pPr>
        <w:jc w:val="both"/>
        <w:spacing w:before="100" w:after="100"/>
        <w:ind w:start="360"/>
        <w:ind w:firstLine="360"/>
      </w:pPr>
      <w:r>
        <w:rPr/>
      </w:r>
      <w:r>
        <w:rPr/>
      </w:r>
      <w:r>
        <w:t xml:space="preserve">The Attorney General shall develop a fact sheet for victims with information about the victim advocate and victim compensation programs and shall make copies available to all prosecutors' offices and law enforcement agencies who shall provide that fact sheet for distribution to all victims of crimes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1993, c. 675,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