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Dedimus justices; appointment</w:t>
      </w:r>
    </w:p>
    <w:p>
      <w:pPr>
        <w:jc w:val="both"/>
        <w:spacing w:before="100" w:after="100"/>
        <w:ind w:start="360"/>
        <w:ind w:firstLine="360"/>
      </w:pPr>
      <w:r>
        <w:rPr/>
      </w:r>
      <w:r>
        <w:rPr/>
      </w:r>
      <w:r>
        <w:t xml:space="preserve">The Governor may appoint in every county persons who shall be designated as dedimus justices, before whom the oath required by the Constitution to qualify civil officers may be taken and subscribed. Such persons shall exercise their powers and duties, and shall be commissioned to act within and for every county.</w:t>
      </w:r>
      <w:r>
        <w:t xml:space="preserve">  </w:t>
      </w:r>
      <w:r xmlns:wp="http://schemas.openxmlformats.org/drawingml/2010/wordprocessingDrawing" xmlns:w15="http://schemas.microsoft.com/office/word/2012/wordml">
        <w:rPr>
          <w:rFonts w:ascii="Arial" w:hAnsi="Arial" w:cs="Arial"/>
          <w:sz w:val="22"/>
          <w:szCs w:val="22"/>
        </w:rPr>
        <w:t xml:space="preserve">[PL 1975, c. 771,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Dedimus justices;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Dedimus justices;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 DEDIMUS JUSTICES;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