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Exchange of information and records</w:t>
      </w:r>
    </w:p>
    <w:p>
      <w:pPr>
        <w:jc w:val="both"/>
        <w:spacing w:before="100" w:after="100"/>
        <w:ind w:start="360"/>
        <w:ind w:firstLine="360"/>
      </w:pPr>
      <w:r>
        <w:rPr/>
      </w:r>
      <w:r>
        <w:rPr/>
      </w:r>
      <w:r>
        <w:t xml:space="preserve">No state agency, board, commission, department or institution shall be charged for information or copies of records furnished by another state agency, board, commission, department or institution.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Exchange of information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Exchange of information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§42. EXCHANGE OF INFORMATION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