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4565</w:t>
        <w:t xml:space="preserve">.  </w:t>
      </w:r>
      <w:r>
        <w:rPr>
          <w:b/>
        </w:rPr>
        <w:t xml:space="preserve">Removal from office</w:t>
      </w:r>
    </w:p>
    <w:p>
      <w:pPr>
        <w:jc w:val="both"/>
        <w:spacing w:before="100" w:after="100"/>
        <w:ind w:start="360"/>
        <w:ind w:firstLine="360"/>
      </w:pPr>
      <w:r>
        <w:rPr/>
      </w:r>
      <w:r>
        <w:rPr/>
      </w:r>
      <w:r>
        <w:t xml:space="preserve">Any member of the commission may be removed by the Governor for inefficiency, neglect of duty, misconduct or malfeasance in office, after being given a written statement of the charges.</w:t>
      </w:r>
      <w:r>
        <w:t xml:space="preserve">  </w:t>
      </w:r>
      <w:r xmlns:wp="http://schemas.openxmlformats.org/drawingml/2010/wordprocessingDrawing" xmlns:w15="http://schemas.microsoft.com/office/word/2012/wordml">
        <w:rPr>
          <w:rFonts w:ascii="Arial" w:hAnsi="Arial" w:cs="Arial"/>
          <w:sz w:val="22"/>
          <w:szCs w:val="22"/>
        </w:rPr>
        <w:t xml:space="preserve">[PL 1975, c. 771,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771,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§4565. Removal from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§4565. Removal from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§4565. REMOVAL FROM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