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4598</w:t>
        <w:t xml:space="preserve">.  </w:t>
      </w:r>
      <w:r>
        <w:rPr>
          <w:b/>
        </w:rPr>
        <w:t xml:space="preserve">Enforcement</w:t>
      </w:r>
    </w:p>
    <w:p>
      <w:pPr>
        <w:jc w:val="both"/>
        <w:spacing w:before="100" w:after="100"/>
        <w:ind w:start="360"/>
        <w:ind w:firstLine="360"/>
      </w:pPr>
      <w:r>
        <w:rPr/>
      </w:r>
      <w:r>
        <w:rPr/>
      </w:r>
      <w:r>
        <w:t xml:space="preserve">The Superintendent of Financial Institutions and the Superintendent of Consumer Credit Protection shall cooperate with the Maine Human Rights Commission in its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17, §1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§17 (AMD). PL 1979, c. 541, §A39 (AMD). PL 1995, c. 17,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