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4658</w:t>
        <w:t xml:space="preserve">.  </w:t>
      </w:r>
      <w:r>
        <w:rPr>
          <w:b/>
        </w:rPr>
        <w:t xml:space="preserve">Procedure</w:t>
      </w:r>
    </w:p>
    <w:p>
      <w:pPr>
        <w:jc w:val="both"/>
        <w:spacing w:before="100" w:after="0"/>
        <w:ind w:start="360"/>
        <w:ind w:firstLine="360"/>
      </w:pPr>
      <w:r>
        <w:rPr>
          <w:b/>
        </w:rPr>
        <w:t>1</w:t>
        <w:t xml:space="preserve">.  </w:t>
      </w:r>
      <w:r>
        <w:rPr>
          <w:b/>
        </w:rPr>
        <w:t xml:space="preserve">Civil rules apply.</w:t>
        <w:t xml:space="preserve"> </w:t>
      </w:r>
      <w:r>
        <w:t xml:space="preserve"> </w:t>
      </w:r>
      <w:r>
        <w:t xml:space="preserve">Unless otherwise indicated in this chapter, all proceedings shall be in accordance with the Maine Rules of Civil Procedure. Appeals may be taken as provided by the Maine Rules of Civil Procedure and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2</w:t>
        <w:t xml:space="preserve">.  </w:t>
      </w:r>
      <w:r>
        <w:rPr>
          <w:b/>
        </w:rPr>
        <w:t xml:space="preserve">Proceedings independent.</w:t>
        <w:t xml:space="preserve"> </w:t>
      </w:r>
      <w:r>
        <w:t xml:space="preserve"> </w:t>
      </w:r>
      <w:r>
        <w:t xml:space="preserve">A proceeding under this chapter shall be in addition to any other available civil or criminal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3</w:t>
        <w:t xml:space="preserve">.  </w:t>
      </w:r>
      <w:r>
        <w:rPr>
          <w:b/>
        </w:rPr>
        <w:t xml:space="preserve">Self-defense.</w:t>
        <w:t xml:space="preserve"> </w:t>
      </w:r>
      <w:r>
        <w:t xml:space="preserve"> </w:t>
      </w:r>
      <w:r>
        <w:t xml:space="preserve">The right to relief, under this chapter, shall not be affected by the plaintiff's use of reasonable force in response to harassment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708, §6 (AMD).]</w:t>
      </w:r>
    </w:p>
    <w:p>
      <w:pPr>
        <w:jc w:val="both"/>
        <w:spacing w:before="100" w:after="0"/>
        <w:ind w:start="360"/>
        <w:ind w:firstLine="360"/>
      </w:pPr>
      <w:r>
        <w:rPr>
          <w:b/>
        </w:rPr>
        <w:t>4</w:t>
        <w:t xml:space="preserve">.  </w:t>
      </w:r>
      <w:r>
        <w:rPr>
          <w:b/>
        </w:rPr>
        <w:t xml:space="preserve">Intoxication.</w:t>
        <w:t xml:space="preserve"> </w:t>
      </w:r>
      <w:r>
        <w:t xml:space="preserve"> </w:t>
      </w:r>
      <w:r>
        <w:t xml:space="preserve">Voluntary intoxication shall not be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5</w:t>
        <w:t xml:space="preserve">.  </w:t>
      </w:r>
      <w:r>
        <w:rPr>
          <w:b/>
        </w:rPr>
        <w:t xml:space="preserve">Referee.</w:t>
        <w:t xml:space="preserve"> </w:t>
      </w:r>
      <w:r>
        <w:t xml:space="preserve"> </w:t>
      </w:r>
      <w:r>
        <w:t xml:space="preserve">The court may not mandate appointment of referees in actions brought under this chapter.  If an action under this chapter is joined with another proceeding, this subsection does not prohibit the court from mandating appointment of a referee on any issue, other than harassment,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§6 (AMD). PL 2001, c. 243,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§4658.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§4658.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§4658.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