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Access to certain private images and written information</w:t>
      </w:r>
    </w:p>
    <w:p>
      <w:pPr>
        <w:jc w:val="both"/>
        <w:spacing w:before="100" w:after="100"/>
        <w:ind w:start="360"/>
        <w:ind w:firstLine="360"/>
      </w:pPr>
      <w:r>
        <w:rPr/>
      </w:r>
      <w:r>
        <w:rPr/>
      </w:r>
      <w:r>
        <w:t xml:space="preserve">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410,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C,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1. Access to certain private images and writte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Access to certain private images and writte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1. ACCESS TO CERTAIN PRIVATE IMAGES AND WRITTE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