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3</w:t>
        <w:t xml:space="preserve">.  </w:t>
      </w:r>
      <w:r>
        <w:rPr>
          <w:b/>
        </w:rPr>
        <w:t xml:space="preserve">Profiling.</w:t>
        <w:t xml:space="preserve"> </w:t>
      </w:r>
      <w:r>
        <w:t xml:space="preserve"> </w:t>
      </w:r>
      <w:r>
        <w:t xml:space="preserve">"Profiling" means the consideration of or reliance on, to any degree, actual or perceived race, color, sex, sexual orientation, gender identity, physical or mental disability, religion, ancestry or national origin, age or familial status in deciding which persons to subject to a traffic or pedestrian stop or in deciding the scope or substance of law enforcement activities following a traffic or pedestrian stop. "Profiling" does not mean consideration of or reliance on characteristics provided in a specific suspect description.  For purposes of this subsection, "activities following a traffic or pedestrian stop" include, but are not limited to, asking questions of a person, frisking a person, conducting consensual and nonconsensual searches of a person or property, seizing of property, requiring vehicle occupants to exit a vehicle during a traffic stop, issuing a citation and making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