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w:t>
        <w:t xml:space="preserve">.  </w:t>
      </w:r>
      <w:r>
        <w:rPr>
          <w:b/>
        </w:rPr>
        <w:t xml:space="preserve">Access to forms</w:t>
      </w:r>
    </w:p>
    <w:p>
      <w:pPr>
        <w:jc w:val="both"/>
        <w:spacing w:before="100" w:after="100"/>
        <w:ind w:start="360"/>
        <w:ind w:firstLine="360"/>
      </w:pPr>
      <w:r>
        <w:rPr/>
      </w:r>
      <w:r>
        <w:rPr/>
      </w:r>
      <w:r>
        <w:t xml:space="preserve">Every state agency, department, board, office, commission, institution, authority or public instrumentality that requires filing of information by the public shall make a paper copy of any required filing form available, upon request, by regular mail at no cost to the requestor.</w:t>
      </w:r>
      <w:r>
        <w:t xml:space="preserve">  </w:t>
      </w:r>
      <w:r xmlns:wp="http://schemas.openxmlformats.org/drawingml/2010/wordprocessingDrawing" xmlns:w15="http://schemas.microsoft.com/office/word/2012/wordml">
        <w:rPr>
          <w:rFonts w:ascii="Arial" w:hAnsi="Arial" w:cs="Arial"/>
          <w:sz w:val="22"/>
          <w:szCs w:val="22"/>
        </w:rPr>
        <w:t xml:space="preserve">[PL 2011, c. 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 Access to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 Access to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§58. ACCESS TO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