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Juneteenth established as state holiday</w:t>
      </w:r>
    </w:p>
    <w:p>
      <w:pPr>
        <w:jc w:val="both"/>
        <w:spacing w:before="100" w:after="100"/>
        <w:ind w:start="360"/>
        <w:ind w:firstLine="360"/>
      </w:pPr>
      <w:r>
        <w:rPr/>
      </w:r>
      <w:r>
        <w:rPr/>
      </w:r>
      <w:r>
        <w:t xml:space="preserve">The State designates June 19th of each year as Juneteenth and as a state holiday.  All nonessential state offices must be closed on Juneteenth.</w:t>
      </w:r>
      <w:r>
        <w:t xml:space="preserve">  </w:t>
      </w:r>
      <w:r xmlns:wp="http://schemas.openxmlformats.org/drawingml/2010/wordprocessingDrawing" xmlns:w15="http://schemas.microsoft.com/office/word/2012/wordml">
        <w:rPr>
          <w:rFonts w:ascii="Arial" w:hAnsi="Arial" w:cs="Arial"/>
          <w:sz w:val="22"/>
          <w:szCs w:val="22"/>
        </w:rPr>
        <w:t xml:space="preserve">[PL 2021, c. 140,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 Juneteenth established as state holiday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Juneteenth established as state holiday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§59. JUNETEENTH ESTABLISHED AS STATE HOLIDAY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