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7030-C</w:t>
        <w:t xml:space="preserve">.  </w:t>
      </w:r>
      <w:r>
        <w:rPr>
          <w:b/>
        </w:rPr>
        <w:t xml:space="preserve">Chair</w:t>
      </w:r>
    </w:p>
    <w:p>
      <w:pPr>
        <w:jc w:val="both"/>
        <w:spacing w:before="100" w:after="100"/>
        <w:ind w:start="360"/>
        <w:ind w:firstLine="360"/>
      </w:pPr>
      <w:r>
        <w:rPr/>
      </w:r>
      <w:r>
        <w:rPr/>
      </w:r>
      <w:r>
        <w:t xml:space="preserve">The Governor shall select from among the members of the commission a chair.  The chair is authorized to appoint subcommittees.</w:t>
      </w:r>
      <w:r>
        <w:t xml:space="preserve">  </w:t>
      </w:r>
      <w:r xmlns:wp="http://schemas.openxmlformats.org/drawingml/2010/wordprocessingDrawing" xmlns:w15="http://schemas.microsoft.com/office/word/2012/wordml">
        <w:rPr>
          <w:rFonts w:ascii="Arial" w:hAnsi="Arial" w:cs="Arial"/>
          <w:sz w:val="22"/>
          <w:szCs w:val="22"/>
        </w:rPr>
        <w:t xml:space="preserve">[PL 2013, c. 104,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PL 2013, c. 104,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§7030-C.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§7030-C.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§7030-C.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