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Membership; term; compensation</w:t>
      </w:r>
    </w:p>
    <w:p>
      <w:pPr>
        <w:jc w:val="both"/>
        <w:spacing w:before="100" w:after="100"/>
        <w:ind w:start="360"/>
        <w:ind w:firstLine="360"/>
      </w:pPr>
      <w:r>
        <w:rPr/>
      </w:r>
      <w:r>
        <w:rPr/>
      </w:r>
      <w:r>
        <w:t xml:space="preserve">The State Civil Service Appeals Board, established by </w:t>
      </w:r>
      <w:r>
        <w:t>section 12004‑B, subsection 4</w:t>
      </w:r>
      <w:r>
        <w:t xml:space="preserve">, shall be composed of 5 members with experience in personnel management or labor relations.  No more than 3 members of the board may be of the same political party.  No member may be a state employee.</w:t>
      </w:r>
      <w:r>
        <w:t xml:space="preserve">  </w:t>
      </w:r>
      <w:r xmlns:wp="http://schemas.openxmlformats.org/drawingml/2010/wordprocessingDrawing" xmlns:w15="http://schemas.microsoft.com/office/word/2012/wordml">
        <w:rPr>
          <w:rFonts w:ascii="Arial" w:hAnsi="Arial" w:cs="Arial"/>
          <w:sz w:val="22"/>
          <w:szCs w:val="22"/>
        </w:rPr>
        <w:t xml:space="preserve">[PL 1989, c. 503, Pt. B, §24 (AMD).]</w:t>
      </w:r>
    </w:p>
    <w:p>
      <w:pPr>
        <w:jc w:val="both"/>
        <w:spacing w:before="100" w:after="100"/>
        <w:ind w:start="360"/>
        <w:ind w:firstLine="360"/>
      </w:pPr>
      <w:r>
        <w:rPr/>
      </w:r>
      <w:r>
        <w:rPr/>
      </w:r>
      <w:r>
        <w:t xml:space="preserve">Each member shall be appointed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One member of the appeals board must be designated by the Governor as chair.  Except as otherwise provided by law, each member must be appointed for a term of 4 years and until the member's successor has been appointed and qualified.  Any vacancy must be filled for the unexpired portion of the term by the Governor, subject to review by the joint standing committee of the Legislature having jurisdiction over state government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§71 (COR).]</w:t>
      </w:r>
    </w:p>
    <w:p>
      <w:pPr>
        <w:jc w:val="both"/>
        <w:spacing w:before="100" w:after="100"/>
        <w:ind w:start="360"/>
        <w:ind w:firstLine="360"/>
      </w:pPr>
      <w:r>
        <w:rPr/>
      </w:r>
      <w:r>
        <w:rPr/>
      </w:r>
      <w:r>
        <w:t xml:space="preserve">The members of the board shall be compensated as provided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1989, c. 503, §B24 (AMD). RR 2023, c. 2, Pt. B,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§7081. Membership;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Membership;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§7081. MEMBERSHIP;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