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Staff and administrative services</w:t>
      </w:r>
    </w:p>
    <w:p>
      <w:pPr>
        <w:jc w:val="both"/>
        <w:spacing w:before="100" w:after="100"/>
        <w:ind w:start="360"/>
        <w:ind w:firstLine="360"/>
      </w:pPr>
      <w:r>
        <w:rPr/>
      </w:r>
      <w:r>
        <w:rPr/>
      </w:r>
      <w:r>
        <w:t xml:space="preserve">The Department of Education shall provide staff and administrative services as follows.</w:t>
      </w:r>
      <w:r>
        <w:t xml:space="preserve">  </w:t>
      </w:r>
      <w:r xmlns:wp="http://schemas.openxmlformats.org/drawingml/2010/wordprocessingDrawing" xmlns:w15="http://schemas.microsoft.com/office/word/2012/wordml">
        <w:rPr>
          <w:rFonts w:ascii="Arial" w:hAnsi="Arial" w:cs="Arial"/>
          <w:sz w:val="22"/>
          <w:szCs w:val="22"/>
        </w:rPr>
        <w:t xml:space="preserve">[PL 2011, c. 655, Pt. LL, §1 (AMD); PL 2011, c. 655, Pt. LL, §3 (AFF).]</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Education, in consultation with the commission, shall hire an executive director as a member of the Department of Education staff.  The executive director oversees day-to-day operations of the commission, hires staff members with the approval of the commission and the Commissioner of Education and carries out other responsibilities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w:pPr>
        <w:jc w:val="both"/>
        <w:spacing w:before="100" w:after="0"/>
        <w:ind w:start="360"/>
        <w:ind w:firstLine="360"/>
      </w:pPr>
      <w:r>
        <w:rPr>
          <w:b/>
        </w:rPr>
        <w:t>2</w:t>
        <w:t xml:space="preserve">.  </w:t>
      </w:r>
      <w:r>
        <w:rPr>
          <w:b/>
        </w:rPr>
        <w:t xml:space="preserve">Administrative services.</w:t>
        <w:t xml:space="preserve"> </w:t>
      </w:r>
      <w:r>
        <w:t xml:space="preserve"> </w:t>
      </w:r>
      <w:r>
        <w:t xml:space="preserve">The Department of Education shall provide the executive director and the commission with continuing administrative support as appropriate.  The Department of Education may establish a dedicated account on behalf of the commission to receive funds contributed by private and public agencies for use solely for commission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2011, c. 655, Pt. LL, §1 (AMD). PL 2011, c. 655, Pt. LL,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Staff and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Staff and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§7504. STAFF AND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