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789</w:t>
        <w:t xml:space="preserve">.  </w:t>
      </w:r>
      <w:r>
        <w:rPr>
          <w:b/>
        </w:rPr>
        <w:t xml:space="preserve">Human Rights Commission</w:t>
      </w:r>
    </w:p>
    <w:p>
      <w:pPr>
        <w:jc w:val="both"/>
        <w:spacing w:before="100" w:after="100"/>
        <w:ind w:start="360"/>
        <w:ind w:firstLine="360"/>
      </w:pPr>
      <w:r>
        <w:rPr/>
      </w:r>
      <w:r>
        <w:rPr/>
      </w:r>
      <w:r>
        <w:t xml:space="preserve">All affirmative action programs, whether part of the civil service or not, shall be subject to the review and comment of the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100"/>
        <w:ind w:start="360"/>
        <w:ind w:firstLine="360"/>
      </w:pPr>
      <w:r>
        <w:rPr/>
      </w:r>
      <w:r>
        <w:rPr/>
      </w:r>
      <w:r>
        <w:t xml:space="preserve">All powers and duties granted to the Maine Human Rights Commission under </w:t>
      </w:r>
      <w:r>
        <w:t>chapter 337</w:t>
      </w:r>
      <w:r>
        <w:t xml:space="preserve"> apply to this section. Complaints of discrimination based on actual or perceived race, color, sex, sexual orientation, gender identity, physical or mental disability, religion, ancestry or national origin, age or familial status should be made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2021, c. 348, §9 (AMD). PL 2021, c. 553,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§789. Human Rights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§789. Human Rights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§789. HUMAN RIGHTS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