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8051-A</w:t>
        <w:t xml:space="preserve">.  </w:t>
      </w:r>
      <w:r>
        <w:rPr>
          <w:b/>
        </w:rPr>
        <w:t xml:space="preserve">Appointment of liaison</w:t>
      </w:r>
    </w:p>
    <w:p>
      <w:pPr>
        <w:jc w:val="both"/>
        <w:spacing w:before="100" w:after="100"/>
        <w:ind w:start="360"/>
        <w:ind w:firstLine="360"/>
      </w:pPr>
      <w:r>
        <w:rPr/>
      </w:r>
      <w:r>
        <w:rPr/>
      </w:r>
      <w:r>
        <w:t xml:space="preserve">The commissioner or director of each state agency shall designate a person to serve as a liaison between the agency and the general public, the Legislature, the Secretary of State and the office of the Attorney General with respect to rulemaking.  The liaison shall serve as a representative of the agency with respect to providing information about agency rules.  The liaison is responsible for implementing the procedural provisions of this subchapter.  The Secretary of State shall maintain a list of all agency liaisons and their contact information on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§2 (NEW). PL 2007, c. 581,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§8051-A. Appointment of liaison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§8051-A. Appointment of liaison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§8051-A. APPOINTMENT OF LIAISON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