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8063-B</w:t>
        <w:t xml:space="preserve">.  </w:t>
      </w:r>
      <w:r>
        <w:rPr>
          <w:b/>
        </w:rPr>
        <w:t xml:space="preserve">Identification of primary source of information</w:t>
      </w:r>
    </w:p>
    <w:p>
      <w:pPr>
        <w:jc w:val="both"/>
        <w:spacing w:before="100" w:after="100"/>
        <w:ind w:start="360"/>
        <w:ind w:firstLine="360"/>
      </w:pPr>
      <w:r>
        <w:rPr/>
      </w:r>
      <w:r>
        <w:rPr/>
      </w:r>
      <w:r>
        <w:t xml:space="preserve">For every rule proposed by an agency, except for emergency rules, the agency shall file with the Secretary of State citations for up to 3 primary sources of information relied upon by the agency in developing the proposed rule.  The agency shall include that information with a copy of the proposed rule when responding to a request under </w:t>
      </w:r>
      <w:r>
        <w:t>section 8053, subsection 3‑A</w:t>
      </w:r>
      <w:r>
        <w:t xml:space="preserve">.  Professional judgment may be cited as one of those primary sources of information.  Citations to primary sources of information are not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2011, c. 304,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E,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§8063-B. Identification of primary source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§8063-B. Identification of primary source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§8063-B. IDENTIFICATION OF PRIMARY SOURCE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