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w:t>
        <w:t xml:space="preserve">.  </w:t>
      </w:r>
      <w:r>
        <w:rPr>
          <w:b/>
        </w:rPr>
        <w:t xml:space="preserve">Authorization</w:t>
      </w:r>
    </w:p>
    <w:p>
      <w:pPr>
        <w:jc w:val="both"/>
        <w:spacing w:before="100" w:after="100"/>
        <w:ind w:start="360"/>
        <w:ind w:firstLine="360"/>
      </w:pPr>
      <w:r>
        <w:rPr/>
      </w:r>
      <w:r>
        <w:rPr/>
      </w:r>
      <w:r>
        <w:t xml:space="preserve">The director or the principal officer of each state agency, department, board, commission or institution is authorized to enter into such contractual agreements with employees of that particular state agency, department, board, commission or institution on behalf of the State to defer any portion of that employee's compensation as part of a tax-deferred arrangement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1997, c. 204,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1997, c. 204,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§882.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§882.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