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Administration</w:t>
      </w:r>
    </w:p>
    <w:p>
      <w:pPr>
        <w:jc w:val="both"/>
        <w:spacing w:before="100" w:after="100"/>
        <w:ind w:start="360"/>
        <w:ind w:firstLine="360"/>
      </w:pPr>
      <w:r>
        <w:rPr/>
      </w:r>
      <w:r>
        <w:rPr/>
      </w:r>
      <w:r>
        <w:t xml:space="preserve">Administration of tax-deferred arrangements under this chapter, within state agencies, departments, boards, commissions or institutions, is under the direction of the Department of Administrative and Financial Services.  Each county, city, town or other political subdivision may designate an officer to administer tax-deferred arrangements.  Payroll deductions must be made in each instance by the appropriate payroll officer.</w:t>
      </w:r>
      <w:r>
        <w:t xml:space="preserve">  </w:t>
      </w:r>
      <w:r xmlns:wp="http://schemas.openxmlformats.org/drawingml/2010/wordprocessingDrawing" xmlns:w15="http://schemas.microsoft.com/office/word/2012/wordml">
        <w:rPr>
          <w:rFonts w:ascii="Arial" w:hAnsi="Arial" w:cs="Arial"/>
          <w:sz w:val="22"/>
          <w:szCs w:val="22"/>
        </w:rPr>
        <w:t xml:space="preserve">[PL 1997,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1985, c. 785, §A39 (AMD). PL 1997, c. 204,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