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w:t>
        <w:t xml:space="preserve">.  </w:t>
      </w:r>
      <w:r>
        <w:rPr>
          <w:b/>
        </w:rPr>
        <w:t xml:space="preserve">Payment of premiums; purchase of shares; investment products</w:t>
      </w:r>
    </w:p>
    <w:p>
      <w:pPr>
        <w:jc w:val="both"/>
        <w:spacing w:before="100" w:after="100"/>
        <w:ind w:start="360"/>
        <w:ind w:firstLine="360"/>
      </w:pPr>
      <w:r>
        <w:rPr/>
      </w:r>
      <w:r>
        <w:rPr/>
      </w:r>
      <w:r>
        <w:t xml:space="preserve">Notwithstanding any other provision of law to the contrary, those persons designated to administer the tax-deferred arrangements are authorized to make payment for investment products acquired as part of a tax-deferred arrangement.  The payments are not construed to be a prohibited use of the general assets of the State, county, city or other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1997, c. 204,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§887. Payment of premiums; purchase of shares; investment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 Payment of premiums; purchase of shares; investment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§887. PAYMENT OF PREMIUMS; PURCHASE OF SHARES; INVESTMENT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