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90-Q</w:t>
        <w:t xml:space="preserve">.  </w:t>
      </w:r>
      <w:r>
        <w:rPr>
          <w:b/>
        </w:rPr>
        <w:t xml:space="preserve">Small business requests for assistance</w:t>
      </w:r>
    </w:p>
    <w:p>
      <w:pPr>
        <w:jc w:val="both"/>
        <w:spacing w:before="100" w:after="100"/>
        <w:ind w:start="360"/>
        <w:ind w:firstLine="360"/>
      </w:pPr>
      <w:r>
        <w:rPr/>
      </w:r>
      <w:r>
        <w:rPr/>
      </w:r>
      <w:r>
        <w:t xml:space="preserve">A small business may file a complaint requesting the assistance of the special advocate in any agency enforcement action initiated against that small business.  The special advocate may provide assistance to the small business in accordance with </w:t>
      </w:r>
      <w:r>
        <w:t>section 90‑R, subsection 2</w:t>
      </w:r>
      <w:r>
        <w:t xml:space="preserve">.  The special advocate shall encourage small businesses to request the assistance of the special advocate as early in the regulatory proceeding as possible.  Before providing any assistance, the special advocate shall provide a written disclaimer to the small business stating that the special advocate is not acting as an attorney representing the small business, that no attorney-client relationship is established and that no attorney-client privilege can be asserted by the small business as a result of the assistance provided by the special advocate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§90-Q. Small business requests for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§90-Q. Small business requests for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§90-Q. SMALL BUSINESS REQUESTS FOR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