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§90-S. REGULATORY IMPACT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