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make the operations of State Government and local government more efficient, more effective and more economical through records management; and, to the end that the people may derive maximum benefit from a knowledge of state affairs, preserve its records of permanent value for study and research.</w:t>
      </w:r>
      <w:r>
        <w:t xml:space="preserve">  </w:t>
      </w:r>
      <w:r xmlns:wp="http://schemas.openxmlformats.org/drawingml/2010/wordprocessingDrawing" xmlns:w15="http://schemas.microsoft.com/office/word/2012/wordml">
        <w:rPr>
          <w:rFonts w:ascii="Arial" w:hAnsi="Arial" w:cs="Arial"/>
          <w:sz w:val="22"/>
          <w:szCs w:val="22"/>
        </w:rPr>
        <w:t xml:space="preserve">[PL 1997, c. 636, §1 (AMD).]</w:t>
      </w:r>
    </w:p>
    <w:p>
      <w:pPr>
        <w:jc w:val="both"/>
        <w:spacing w:before="100" w:after="100"/>
        <w:ind w:start="360"/>
        <w:ind w:firstLine="360"/>
      </w:pPr>
      <w:r>
        <w:rPr/>
      </w:r>
      <w:r>
        <w:rPr/>
      </w:r>
      <w:r>
        <w:t xml:space="preserve">It is also the policy of the State to ensure that operational, nonpermanent records of agencies are preserved for the time required by approved records retention schedules established pursuant to </w:t>
      </w:r>
      <w:r>
        <w:t>section 95‑C, subsection 2, paragraph A</w:t>
      </w:r>
      <w:r>
        <w:t xml:space="preserve">, subparagraph (3) to meet administrative use, legal, fiscal and audit requirements and to ensure compliance with requests for public records under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2019,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1995, c. 148, §2 (AMD). PL 1997, c. 636, §1 (AMD). PL 2019,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