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w:t>
        <w:t xml:space="preserve">.  </w:t>
      </w:r>
      <w:r>
        <w:rPr>
          <w:b/>
        </w:rPr>
        <w:t xml:space="preserve">Violation</w:t>
      </w:r>
    </w:p>
    <w:p>
      <w:pPr>
        <w:jc w:val="both"/>
        <w:spacing w:before="100" w:after="100"/>
        <w:ind w:start="360"/>
        <w:ind w:firstLine="360"/>
      </w:pPr>
      <w:r>
        <w:rPr/>
      </w:r>
      <w:r>
        <w:rPr/>
      </w:r>
      <w:r>
        <w:t xml:space="preserve">Violation of any provision of this chapter or any rules adopted under </w:t>
      </w:r>
      <w:r>
        <w:t>section 95‑C, subsection 1, paragraph C</w:t>
      </w:r>
      <w:r>
        <w:t xml:space="preserve">, except those violations for which specific penalties are provided, is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50,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1977, c. 696, §33 (RPR). PL 2019, c. 50,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§97.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